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DA72E2" w:rsidRPr="00DA72E2" w14:paraId="79BEBF1D" w14:textId="77777777" w:rsidTr="00FF4DF3">
        <w:tc>
          <w:tcPr>
            <w:tcW w:w="9016" w:type="dxa"/>
          </w:tcPr>
          <w:p w14:paraId="15CD22DA" w14:textId="517E243A" w:rsidR="00E2497C" w:rsidRPr="00DA72E2" w:rsidRDefault="00E2497C" w:rsidP="00362762">
            <w:pPr>
              <w:pStyle w:val="NormalWeb"/>
              <w:spacing w:before="0" w:beforeAutospacing="0" w:after="0" w:afterAutospacing="0"/>
              <w:rPr>
                <w:rFonts w:ascii="Arial" w:hAnsi="Arial" w:cs="Arial"/>
                <w:sz w:val="22"/>
                <w:szCs w:val="22"/>
              </w:rPr>
            </w:pPr>
            <w:r w:rsidRPr="00DA72E2">
              <w:rPr>
                <w:rFonts w:ascii="Arial" w:hAnsi="Arial" w:cs="Arial"/>
                <w:b/>
                <w:bCs/>
                <w:sz w:val="22"/>
                <w:szCs w:val="22"/>
              </w:rPr>
              <w:t>1. What are your views on changing the release point for certain short-term prisoners to 30%?</w:t>
            </w:r>
          </w:p>
        </w:tc>
      </w:tr>
      <w:tr w:rsidR="00DA72E2" w:rsidRPr="00DA72E2" w14:paraId="558B3DE8" w14:textId="77777777" w:rsidTr="00063A0F">
        <w:tc>
          <w:tcPr>
            <w:tcW w:w="9016" w:type="dxa"/>
          </w:tcPr>
          <w:p w14:paraId="6D75B174" w14:textId="3F632BBF" w:rsidR="00E2497C" w:rsidRPr="00DA72E2" w:rsidRDefault="00E2497C" w:rsidP="00DA72E2">
            <w:pPr>
              <w:rPr>
                <w:rFonts w:cs="Arial"/>
                <w:sz w:val="22"/>
                <w:szCs w:val="22"/>
              </w:rPr>
            </w:pPr>
            <w:r w:rsidRPr="00DA72E2">
              <w:rPr>
                <w:rFonts w:cs="Arial"/>
                <w:sz w:val="22"/>
                <w:szCs w:val="22"/>
              </w:rPr>
              <w:t xml:space="preserve"> CJS has consistently stated that Scotland’s prison population is disproportionately high, making effective rehabilitation difficult, increasing health and safety pressures, and failing to reduce reoffending. Existing measures such as the Presumption Against Short Sentences (PASS), Electronic Monitoring with bail, </w:t>
            </w:r>
            <w:r w:rsidR="005D62FD">
              <w:rPr>
                <w:rFonts w:cs="Arial"/>
                <w:sz w:val="22"/>
                <w:szCs w:val="22"/>
              </w:rPr>
              <w:t>Emergency</w:t>
            </w:r>
            <w:r w:rsidRPr="00DA72E2">
              <w:rPr>
                <w:rFonts w:cs="Arial"/>
                <w:sz w:val="22"/>
                <w:szCs w:val="22"/>
              </w:rPr>
              <w:t xml:space="preserve"> Early Release schemes</w:t>
            </w:r>
            <w:r w:rsidR="00C7022D">
              <w:rPr>
                <w:rFonts w:cs="Arial"/>
                <w:sz w:val="22"/>
                <w:szCs w:val="22"/>
              </w:rPr>
              <w:t>, etc.</w:t>
            </w:r>
            <w:r w:rsidRPr="00DA72E2">
              <w:rPr>
                <w:rFonts w:cs="Arial"/>
                <w:sz w:val="22"/>
                <w:szCs w:val="22"/>
              </w:rPr>
              <w:t xml:space="preserve"> have had limited impact.</w:t>
            </w:r>
          </w:p>
          <w:p w14:paraId="3E00D325" w14:textId="77777777" w:rsidR="00E2497C" w:rsidRPr="00DA72E2" w:rsidRDefault="00E2497C" w:rsidP="00362762">
            <w:pPr>
              <w:pStyle w:val="NormalWeb"/>
              <w:spacing w:before="0" w:beforeAutospacing="0" w:after="0" w:afterAutospacing="0"/>
              <w:rPr>
                <w:rFonts w:ascii="Arial" w:hAnsi="Arial" w:cs="Arial"/>
                <w:sz w:val="22"/>
                <w:szCs w:val="22"/>
              </w:rPr>
            </w:pPr>
          </w:p>
          <w:p w14:paraId="5725A0BB" w14:textId="05C5B28B" w:rsidR="00E2497C" w:rsidRPr="00DA72E2" w:rsidRDefault="00E2497C" w:rsidP="00362762">
            <w:pPr>
              <w:pStyle w:val="NormalWeb"/>
              <w:spacing w:before="0" w:beforeAutospacing="0" w:after="0" w:afterAutospacing="0"/>
              <w:rPr>
                <w:rFonts w:ascii="Arial" w:hAnsi="Arial" w:cs="Arial"/>
                <w:sz w:val="22"/>
                <w:szCs w:val="22"/>
              </w:rPr>
            </w:pPr>
            <w:r w:rsidRPr="00DA72E2">
              <w:rPr>
                <w:rFonts w:ascii="Arial" w:hAnsi="Arial" w:cs="Arial"/>
                <w:sz w:val="22"/>
                <w:szCs w:val="22"/>
              </w:rPr>
              <w:t>Allowing automatic release for some short</w:t>
            </w:r>
            <w:r w:rsidRPr="00DA72E2">
              <w:rPr>
                <w:rFonts w:ascii="Arial" w:hAnsi="Arial" w:cs="Arial"/>
                <w:sz w:val="22"/>
                <w:szCs w:val="22"/>
              </w:rPr>
              <w:noBreakHyphen/>
              <w:t>term prisoners after 30% of their sentence may be a pragmatic step, but it carries risks. Courts may respond by issuing longer sentences to maintain time in custody which may be a truly unintended consequence. Research shows that even brief prison terms cause significant disruption to people’s lives.</w:t>
            </w:r>
          </w:p>
          <w:p w14:paraId="57698AA9" w14:textId="77777777" w:rsidR="00E2497C" w:rsidRPr="00DA72E2" w:rsidRDefault="00E2497C" w:rsidP="00362762">
            <w:pPr>
              <w:pStyle w:val="NormalWeb"/>
              <w:spacing w:before="0" w:beforeAutospacing="0" w:after="0" w:afterAutospacing="0"/>
              <w:rPr>
                <w:rFonts w:ascii="Arial" w:hAnsi="Arial" w:cs="Arial"/>
                <w:sz w:val="22"/>
                <w:szCs w:val="22"/>
              </w:rPr>
            </w:pPr>
          </w:p>
          <w:p w14:paraId="3B54CBE5" w14:textId="358C4D07" w:rsidR="00E2497C" w:rsidRPr="00DA72E2" w:rsidRDefault="00E2497C" w:rsidP="00362762">
            <w:pPr>
              <w:pStyle w:val="NormalWeb"/>
              <w:spacing w:before="0" w:beforeAutospacing="0" w:after="0" w:afterAutospacing="0"/>
              <w:rPr>
                <w:rFonts w:ascii="Arial" w:hAnsi="Arial" w:cs="Arial"/>
                <w:sz w:val="22"/>
                <w:szCs w:val="22"/>
              </w:rPr>
            </w:pPr>
            <w:r w:rsidRPr="00DA72E2">
              <w:rPr>
                <w:rFonts w:ascii="Arial" w:hAnsi="Arial" w:cs="Arial"/>
                <w:sz w:val="22"/>
                <w:szCs w:val="22"/>
              </w:rPr>
              <w:t>Unlike Emergency Early Release (EER) there would be no ‘governor’s veto’ so the sharing of risk-relevant information and/or intelligence between appropriate agencies needs to take on a more prominent and consistent role. This is a significant issue for victims of crimes and how people in the community are informed and, where required, supported.</w:t>
            </w:r>
          </w:p>
          <w:p w14:paraId="693D747A" w14:textId="77777777" w:rsidR="00E2497C" w:rsidRPr="00DA72E2" w:rsidRDefault="00E2497C" w:rsidP="00362762">
            <w:pPr>
              <w:pStyle w:val="NormalWeb"/>
              <w:spacing w:before="0" w:beforeAutospacing="0" w:after="0" w:afterAutospacing="0"/>
              <w:rPr>
                <w:rFonts w:ascii="Arial" w:hAnsi="Arial" w:cs="Arial"/>
                <w:sz w:val="22"/>
                <w:szCs w:val="22"/>
              </w:rPr>
            </w:pPr>
          </w:p>
          <w:p w14:paraId="2420D8BA" w14:textId="26B3E420" w:rsidR="00E2497C" w:rsidRPr="00DA72E2" w:rsidRDefault="00E2497C" w:rsidP="00362762">
            <w:pPr>
              <w:pStyle w:val="NormalWeb"/>
              <w:spacing w:before="0" w:beforeAutospacing="0" w:after="0" w:afterAutospacing="0"/>
              <w:rPr>
                <w:rFonts w:ascii="Arial" w:hAnsi="Arial" w:cs="Arial"/>
                <w:sz w:val="22"/>
                <w:szCs w:val="22"/>
              </w:rPr>
            </w:pPr>
            <w:r w:rsidRPr="00DA72E2">
              <w:rPr>
                <w:rFonts w:ascii="Arial" w:hAnsi="Arial" w:cs="Arial"/>
                <w:sz w:val="22"/>
                <w:szCs w:val="22"/>
              </w:rPr>
              <w:t>The current EER scheme, which was the first undertaken following the launch of the Upside voluntary throughcare support service, highlighted the increased impact on resources and capacity for the service. Prior to AER30 being implemented, there requires to be a review of how services might cope with an increased demand for services and, in particular, Upside as a national provider of voluntary throughcare services.</w:t>
            </w:r>
          </w:p>
          <w:p w14:paraId="4F5D9E35" w14:textId="77777777" w:rsidR="00E2497C" w:rsidRPr="00DA72E2" w:rsidRDefault="00E2497C" w:rsidP="0084222D">
            <w:pPr>
              <w:pStyle w:val="NormalWeb"/>
              <w:spacing w:before="0" w:beforeAutospacing="0" w:after="0" w:afterAutospacing="0"/>
              <w:rPr>
                <w:rFonts w:ascii="Arial" w:hAnsi="Arial" w:cs="Arial"/>
                <w:sz w:val="22"/>
                <w:szCs w:val="22"/>
              </w:rPr>
            </w:pPr>
          </w:p>
        </w:tc>
      </w:tr>
      <w:tr w:rsidR="00DA72E2" w:rsidRPr="00DA72E2" w14:paraId="25D375F0" w14:textId="77777777" w:rsidTr="0089535E">
        <w:tc>
          <w:tcPr>
            <w:tcW w:w="9016" w:type="dxa"/>
          </w:tcPr>
          <w:p w14:paraId="06DEA102" w14:textId="06A21D69" w:rsidR="00E2497C" w:rsidRPr="00DA72E2" w:rsidRDefault="00E2497C" w:rsidP="00362762">
            <w:pPr>
              <w:rPr>
                <w:rFonts w:cs="Arial"/>
                <w:sz w:val="22"/>
                <w:szCs w:val="22"/>
              </w:rPr>
            </w:pPr>
            <w:r w:rsidRPr="00DA72E2">
              <w:rPr>
                <w:rFonts w:cs="Arial"/>
                <w:b/>
                <w:bCs/>
                <w:sz w:val="22"/>
                <w:szCs w:val="22"/>
              </w:rPr>
              <w:t>2. What are your views on excluding those serving sentences for domestic abuse and sexual offences?</w:t>
            </w:r>
          </w:p>
        </w:tc>
      </w:tr>
      <w:tr w:rsidR="00DA72E2" w:rsidRPr="00DA72E2" w14:paraId="0B0183BF" w14:textId="77777777" w:rsidTr="000E43DC">
        <w:tc>
          <w:tcPr>
            <w:tcW w:w="9016" w:type="dxa"/>
          </w:tcPr>
          <w:p w14:paraId="049DFD17" w14:textId="56005C65" w:rsidR="00E2497C" w:rsidRPr="00DA72E2" w:rsidRDefault="00E2497C" w:rsidP="00362762">
            <w:pPr>
              <w:rPr>
                <w:rFonts w:cs="Arial"/>
                <w:sz w:val="22"/>
                <w:szCs w:val="22"/>
              </w:rPr>
            </w:pPr>
            <w:r w:rsidRPr="00DA72E2">
              <w:rPr>
                <w:rFonts w:cs="Arial"/>
                <w:sz w:val="22"/>
                <w:szCs w:val="22"/>
              </w:rPr>
              <w:t>CJS understands the logic behind this approach in terms of impact on victims of crime, however, (and similar to that of STP40) there remains a question about why early release would be denied on the basis of specific convictions (or if even such is lawful never mind equitable).</w:t>
            </w:r>
          </w:p>
          <w:p w14:paraId="60E05B3F" w14:textId="77777777" w:rsidR="00E2497C" w:rsidRPr="00DA72E2" w:rsidRDefault="00E2497C" w:rsidP="00362762">
            <w:pPr>
              <w:rPr>
                <w:rFonts w:cs="Arial"/>
                <w:sz w:val="22"/>
                <w:szCs w:val="22"/>
              </w:rPr>
            </w:pPr>
          </w:p>
          <w:p w14:paraId="1CA25D94" w14:textId="5838B0EF" w:rsidR="00E2497C" w:rsidRPr="00DA72E2" w:rsidRDefault="00E2497C" w:rsidP="00362762">
            <w:pPr>
              <w:rPr>
                <w:rFonts w:cs="Arial"/>
                <w:sz w:val="22"/>
                <w:szCs w:val="22"/>
              </w:rPr>
            </w:pPr>
            <w:r w:rsidRPr="00DA72E2">
              <w:rPr>
                <w:rFonts w:cs="Arial"/>
                <w:sz w:val="22"/>
                <w:szCs w:val="22"/>
              </w:rPr>
              <w:t>Domestic abuse and sexual offending are complex crimes that significantly impact on both victims and wider society. The use of short-term sentences to address the underlying issues involved in these types of offences serves no purpose and would be better address either in the community or, where circumstances require, via rehabilitative process over a longer period of custody.</w:t>
            </w:r>
          </w:p>
          <w:p w14:paraId="054D8C06" w14:textId="656B2299" w:rsidR="00E2497C" w:rsidRPr="00DA72E2" w:rsidRDefault="00E2497C" w:rsidP="00362762">
            <w:pPr>
              <w:rPr>
                <w:rFonts w:cs="Arial"/>
                <w:sz w:val="22"/>
                <w:szCs w:val="22"/>
              </w:rPr>
            </w:pPr>
          </w:p>
        </w:tc>
      </w:tr>
      <w:tr w:rsidR="00DA72E2" w:rsidRPr="00DA72E2" w14:paraId="10B1B439" w14:textId="77777777" w:rsidTr="00B51AA9">
        <w:tc>
          <w:tcPr>
            <w:tcW w:w="9016" w:type="dxa"/>
          </w:tcPr>
          <w:p w14:paraId="36EBD75C" w14:textId="296A10C5" w:rsidR="00E2497C" w:rsidRPr="00DA72E2" w:rsidRDefault="00E2497C" w:rsidP="00362762">
            <w:pPr>
              <w:rPr>
                <w:rFonts w:cs="Arial"/>
                <w:sz w:val="22"/>
                <w:szCs w:val="22"/>
              </w:rPr>
            </w:pPr>
            <w:r w:rsidRPr="00DA72E2">
              <w:rPr>
                <w:rFonts w:cs="Arial"/>
                <w:b/>
                <w:bCs/>
                <w:sz w:val="22"/>
                <w:szCs w:val="22"/>
              </w:rPr>
              <w:t>3. What are your views on making equivalent changes for children detained in secure accommodation?</w:t>
            </w:r>
          </w:p>
        </w:tc>
      </w:tr>
      <w:tr w:rsidR="00DA72E2" w:rsidRPr="00DA72E2" w14:paraId="76A2AE00" w14:textId="77777777" w:rsidTr="00FE3154">
        <w:tc>
          <w:tcPr>
            <w:tcW w:w="9016" w:type="dxa"/>
          </w:tcPr>
          <w:p w14:paraId="3345B16E" w14:textId="50DBC949" w:rsidR="00E2497C" w:rsidRPr="00DA72E2" w:rsidRDefault="00E2497C" w:rsidP="00362762">
            <w:pPr>
              <w:rPr>
                <w:rFonts w:cs="Arial"/>
                <w:sz w:val="22"/>
                <w:szCs w:val="22"/>
              </w:rPr>
            </w:pPr>
            <w:r w:rsidRPr="00DA72E2">
              <w:rPr>
                <w:rFonts w:cs="Arial"/>
                <w:sz w:val="22"/>
                <w:szCs w:val="22"/>
              </w:rPr>
              <w:t>Where serious offences merit prosecution and custody, CJS supports young people being placed in secure care rather than prison.</w:t>
            </w:r>
          </w:p>
          <w:p w14:paraId="64680655" w14:textId="77777777" w:rsidR="00E2497C" w:rsidRPr="00DA72E2" w:rsidRDefault="00E2497C" w:rsidP="00362762">
            <w:pPr>
              <w:rPr>
                <w:rFonts w:cs="Arial"/>
                <w:sz w:val="22"/>
                <w:szCs w:val="22"/>
              </w:rPr>
            </w:pPr>
          </w:p>
          <w:p w14:paraId="1ED93517" w14:textId="18C4BF28" w:rsidR="00E2497C" w:rsidRPr="00DA72E2" w:rsidRDefault="00E2497C" w:rsidP="00362762">
            <w:pPr>
              <w:rPr>
                <w:rFonts w:cs="Arial"/>
                <w:sz w:val="22"/>
                <w:szCs w:val="22"/>
              </w:rPr>
            </w:pPr>
            <w:r w:rsidRPr="00DA72E2">
              <w:rPr>
                <w:rFonts w:cs="Arial"/>
                <w:sz w:val="22"/>
                <w:szCs w:val="22"/>
              </w:rPr>
              <w:t>Article 37 of the UNCRC, mandates that deprivation of liberty must be a last resort and, if applied, should be for the shortest period. CJS would support the use of community-based support and supervision as the primary model of intervention and only where there is evidence of imminent risk of serious harm should custody be used.</w:t>
            </w:r>
          </w:p>
          <w:p w14:paraId="6C9295F5" w14:textId="77777777" w:rsidR="00E2497C" w:rsidRPr="00DA72E2" w:rsidRDefault="00E2497C" w:rsidP="00362762">
            <w:pPr>
              <w:rPr>
                <w:rFonts w:cs="Arial"/>
                <w:sz w:val="22"/>
                <w:szCs w:val="22"/>
              </w:rPr>
            </w:pPr>
          </w:p>
          <w:p w14:paraId="13B4A307" w14:textId="23C994DF" w:rsidR="00E2497C" w:rsidRPr="00DA72E2" w:rsidRDefault="00E2497C" w:rsidP="00362762">
            <w:pPr>
              <w:rPr>
                <w:rFonts w:cs="Arial"/>
                <w:sz w:val="22"/>
                <w:szCs w:val="22"/>
              </w:rPr>
            </w:pPr>
            <w:r w:rsidRPr="00DA72E2">
              <w:rPr>
                <w:rFonts w:cs="Arial"/>
                <w:sz w:val="22"/>
                <w:szCs w:val="22"/>
              </w:rPr>
              <w:t>Where this is the case, CJS would support an alignment to 30% to support effective release planning and reintegration which reduces harms connected to extended restriction.</w:t>
            </w:r>
          </w:p>
          <w:p w14:paraId="19E4B93A" w14:textId="0760EF14" w:rsidR="00E2497C" w:rsidRPr="00DA72E2" w:rsidRDefault="00E2497C" w:rsidP="00362762">
            <w:pPr>
              <w:rPr>
                <w:rFonts w:cs="Arial"/>
                <w:sz w:val="22"/>
                <w:szCs w:val="22"/>
              </w:rPr>
            </w:pPr>
          </w:p>
        </w:tc>
      </w:tr>
      <w:tr w:rsidR="00DA72E2" w:rsidRPr="00DA72E2" w14:paraId="48A54792" w14:textId="77777777" w:rsidTr="006C4164">
        <w:tc>
          <w:tcPr>
            <w:tcW w:w="9016" w:type="dxa"/>
          </w:tcPr>
          <w:p w14:paraId="7EACDCF3" w14:textId="2511F175" w:rsidR="00E2497C" w:rsidRPr="00DA72E2" w:rsidRDefault="00E2497C" w:rsidP="00362762">
            <w:pPr>
              <w:rPr>
                <w:rFonts w:cs="Arial"/>
                <w:sz w:val="22"/>
                <w:szCs w:val="22"/>
              </w:rPr>
            </w:pPr>
            <w:r w:rsidRPr="00DA72E2">
              <w:rPr>
                <w:rFonts w:cs="Arial"/>
                <w:b/>
                <w:bCs/>
                <w:sz w:val="22"/>
                <w:szCs w:val="22"/>
              </w:rPr>
              <w:t>4. What are your views on the changes applying to short-term prisoners serving sentence for fine defaults and contempt of court?</w:t>
            </w:r>
          </w:p>
        </w:tc>
      </w:tr>
      <w:tr w:rsidR="00DA72E2" w:rsidRPr="00DA72E2" w14:paraId="5218028F" w14:textId="77777777" w:rsidTr="00DD1239">
        <w:tc>
          <w:tcPr>
            <w:tcW w:w="9016" w:type="dxa"/>
          </w:tcPr>
          <w:p w14:paraId="23FE9336" w14:textId="77777777" w:rsidR="00E2497C" w:rsidRPr="00DA72E2" w:rsidRDefault="00E2497C" w:rsidP="00362762">
            <w:pPr>
              <w:rPr>
                <w:rFonts w:cs="Arial"/>
                <w:sz w:val="22"/>
                <w:szCs w:val="22"/>
              </w:rPr>
            </w:pPr>
            <w:r w:rsidRPr="00DA72E2">
              <w:rPr>
                <w:rFonts w:cs="Arial"/>
                <w:sz w:val="22"/>
                <w:szCs w:val="22"/>
              </w:rPr>
              <w:lastRenderedPageBreak/>
              <w:t>Taking into account previous comments by CJS on the inefficacy of short-term sentences and the research which supports this, overall, CJS does not support the use such court disposals for these types of offences. However, in response to the specific question, CJS is of the view that these changes should also cover people serving short</w:t>
            </w:r>
            <w:r w:rsidRPr="00DA72E2">
              <w:rPr>
                <w:rFonts w:ascii="Cambria Math" w:hAnsi="Cambria Math" w:cs="Cambria Math"/>
                <w:sz w:val="22"/>
                <w:szCs w:val="22"/>
              </w:rPr>
              <w:t>‑</w:t>
            </w:r>
            <w:r w:rsidRPr="00DA72E2">
              <w:rPr>
                <w:rFonts w:cs="Arial"/>
                <w:sz w:val="22"/>
                <w:szCs w:val="22"/>
              </w:rPr>
              <w:t>term sentences for failing to comply with fine default, contempt, etc. However, to support this, CJS is of the view that better compliance requires adequate and sustained resource and funding in the community infrastructure.</w:t>
            </w:r>
          </w:p>
          <w:p w14:paraId="6B666405" w14:textId="7DA181BC" w:rsidR="00EF1EFF" w:rsidRPr="00DA72E2" w:rsidRDefault="00EF1EFF" w:rsidP="00362762">
            <w:pPr>
              <w:rPr>
                <w:rFonts w:cs="Arial"/>
                <w:sz w:val="22"/>
                <w:szCs w:val="22"/>
              </w:rPr>
            </w:pPr>
          </w:p>
        </w:tc>
      </w:tr>
      <w:tr w:rsidR="00DA72E2" w:rsidRPr="00DA72E2" w14:paraId="450B567E" w14:textId="77777777" w:rsidTr="00C21946">
        <w:tc>
          <w:tcPr>
            <w:tcW w:w="9016" w:type="dxa"/>
          </w:tcPr>
          <w:p w14:paraId="62F3FBAF" w14:textId="2B861D60" w:rsidR="00E2497C" w:rsidRPr="00DA72E2" w:rsidRDefault="00E2497C" w:rsidP="00362762">
            <w:pPr>
              <w:rPr>
                <w:rFonts w:cs="Arial"/>
                <w:sz w:val="22"/>
                <w:szCs w:val="22"/>
              </w:rPr>
            </w:pPr>
            <w:r w:rsidRPr="00DA72E2">
              <w:rPr>
                <w:rFonts w:cs="Arial"/>
                <w:b/>
                <w:bCs/>
                <w:sz w:val="22"/>
                <w:szCs w:val="22"/>
              </w:rPr>
              <w:t>5. What are your views on the proposed transitional approach to initial releases?</w:t>
            </w:r>
          </w:p>
        </w:tc>
      </w:tr>
      <w:tr w:rsidR="00DA72E2" w:rsidRPr="00DA72E2" w14:paraId="58805C62" w14:textId="77777777" w:rsidTr="00124B10">
        <w:tc>
          <w:tcPr>
            <w:tcW w:w="9016" w:type="dxa"/>
          </w:tcPr>
          <w:p w14:paraId="1EFFE9E2" w14:textId="77777777" w:rsidR="00E2497C" w:rsidRPr="00DA72E2" w:rsidRDefault="00E2497C" w:rsidP="00362762">
            <w:pPr>
              <w:rPr>
                <w:rFonts w:cs="Arial"/>
                <w:sz w:val="22"/>
                <w:szCs w:val="22"/>
              </w:rPr>
            </w:pPr>
            <w:r w:rsidRPr="00DA72E2">
              <w:rPr>
                <w:rFonts w:cs="Arial"/>
                <w:sz w:val="22"/>
                <w:szCs w:val="22"/>
              </w:rPr>
              <w:t>CJS supports introducing this approach only after the current Emergency Early Release scheme ends in April 2026. This would allow partners to keep the EER process running while preparing for releases at the 30% point. However, it is critical that key aspects of the EER scheme such as information</w:t>
            </w:r>
            <w:r w:rsidRPr="00DA72E2">
              <w:rPr>
                <w:rFonts w:ascii="Cambria Math" w:hAnsi="Cambria Math" w:cs="Cambria Math"/>
                <w:sz w:val="22"/>
                <w:szCs w:val="22"/>
              </w:rPr>
              <w:t>‑</w:t>
            </w:r>
            <w:r w:rsidRPr="00DA72E2">
              <w:rPr>
                <w:rFonts w:cs="Arial"/>
                <w:sz w:val="22"/>
                <w:szCs w:val="22"/>
              </w:rPr>
              <w:t>sharing, assessment, and planning processes are developed and sustained after the introduction of AER30.</w:t>
            </w:r>
          </w:p>
          <w:p w14:paraId="012201F8" w14:textId="77777777" w:rsidR="00E2497C" w:rsidRPr="00DA72E2" w:rsidRDefault="00E2497C" w:rsidP="00362762">
            <w:pPr>
              <w:rPr>
                <w:rFonts w:cs="Arial"/>
                <w:sz w:val="22"/>
                <w:szCs w:val="22"/>
              </w:rPr>
            </w:pPr>
          </w:p>
          <w:p w14:paraId="1B45F062" w14:textId="77777777" w:rsidR="00E2497C" w:rsidRPr="00DA72E2" w:rsidRDefault="00E2497C" w:rsidP="00362762">
            <w:pPr>
              <w:rPr>
                <w:rFonts w:cs="Arial"/>
                <w:sz w:val="22"/>
                <w:szCs w:val="22"/>
              </w:rPr>
            </w:pPr>
            <w:r w:rsidRPr="00DA72E2">
              <w:rPr>
                <w:rFonts w:cs="Arial"/>
                <w:sz w:val="22"/>
                <w:szCs w:val="22"/>
              </w:rPr>
              <w:t>CJS would also highlight the need to ensure that the potential impact on the Upside through are service is fully understood and taken into account and also that the service has the capacity to consistently deliver the necessary services for both the introduction of AER30 and the demand beyond that point.</w:t>
            </w:r>
          </w:p>
          <w:p w14:paraId="3C2E5504" w14:textId="37AE44C8" w:rsidR="00EF1EFF" w:rsidRPr="00DA72E2" w:rsidRDefault="00EF1EFF" w:rsidP="00362762">
            <w:pPr>
              <w:rPr>
                <w:rFonts w:cs="Arial"/>
                <w:sz w:val="22"/>
                <w:szCs w:val="22"/>
              </w:rPr>
            </w:pPr>
          </w:p>
        </w:tc>
      </w:tr>
      <w:tr w:rsidR="00DA72E2" w:rsidRPr="00DA72E2" w14:paraId="66A85410" w14:textId="77777777" w:rsidTr="00A04CCB">
        <w:tc>
          <w:tcPr>
            <w:tcW w:w="9016" w:type="dxa"/>
          </w:tcPr>
          <w:p w14:paraId="68DFA420" w14:textId="0E8762F4" w:rsidR="00E2497C" w:rsidRPr="00DA72E2" w:rsidRDefault="00E2497C" w:rsidP="00362762">
            <w:pPr>
              <w:rPr>
                <w:rFonts w:cs="Arial"/>
                <w:sz w:val="22"/>
                <w:szCs w:val="22"/>
              </w:rPr>
            </w:pPr>
            <w:r w:rsidRPr="00DA72E2">
              <w:rPr>
                <w:rFonts w:cs="Arial"/>
                <w:b/>
                <w:bCs/>
                <w:sz w:val="22"/>
                <w:szCs w:val="22"/>
              </w:rPr>
              <w:t>6. Do you have any other comments</w:t>
            </w:r>
          </w:p>
        </w:tc>
      </w:tr>
      <w:tr w:rsidR="00DA72E2" w:rsidRPr="00DA72E2" w14:paraId="348C4EF7" w14:textId="77777777" w:rsidTr="0002031E">
        <w:tc>
          <w:tcPr>
            <w:tcW w:w="9016" w:type="dxa"/>
          </w:tcPr>
          <w:p w14:paraId="23231BBC" w14:textId="38FA819D" w:rsidR="00E2497C" w:rsidRPr="00DA72E2" w:rsidRDefault="00E2497C" w:rsidP="0084222D">
            <w:pPr>
              <w:pStyle w:val="NormalWeb"/>
              <w:spacing w:before="0" w:beforeAutospacing="0" w:after="0" w:afterAutospacing="0"/>
              <w:rPr>
                <w:rFonts w:ascii="Arial" w:hAnsi="Arial" w:cs="Arial"/>
                <w:sz w:val="22"/>
                <w:szCs w:val="22"/>
              </w:rPr>
            </w:pPr>
            <w:r w:rsidRPr="00DA72E2">
              <w:rPr>
                <w:rFonts w:ascii="Arial" w:hAnsi="Arial" w:cs="Arial"/>
                <w:sz w:val="22"/>
                <w:szCs w:val="22"/>
              </w:rPr>
              <w:t>Further reforms are also needed as noted in the Commission on Penal Policy and Sentencing report published on 06.02.2026. This means moving beyond the current presumption against sentences of 12 months or less, expanding community</w:t>
            </w:r>
            <w:r w:rsidRPr="00DA72E2">
              <w:rPr>
                <w:rFonts w:ascii="Arial" w:hAnsi="Arial" w:cs="Arial"/>
                <w:sz w:val="22"/>
                <w:szCs w:val="22"/>
              </w:rPr>
              <w:noBreakHyphen/>
              <w:t xml:space="preserve">based alternatives, ensuring bail with electronic monitoring is effective, the use of modern technologies such as GPS monitoring, etc. Beyond this, CJS has repeatedly stated the need for urgent and significant investment in community-based resources to support not just AER30 and that greater use of these resources </w:t>
            </w:r>
            <w:r w:rsidR="00EF1EFF" w:rsidRPr="00DA72E2">
              <w:rPr>
                <w:rFonts w:ascii="Arial" w:hAnsi="Arial" w:cs="Arial"/>
                <w:sz w:val="22"/>
                <w:szCs w:val="22"/>
              </w:rPr>
              <w:t>is</w:t>
            </w:r>
            <w:r w:rsidRPr="00DA72E2">
              <w:rPr>
                <w:rFonts w:ascii="Arial" w:hAnsi="Arial" w:cs="Arial"/>
                <w:sz w:val="22"/>
                <w:szCs w:val="22"/>
              </w:rPr>
              <w:t xml:space="preserve"> made by all agencies and agents within the justice system that promotes a ‘community-first’ response to sentencing.</w:t>
            </w:r>
          </w:p>
          <w:p w14:paraId="717BC6F3" w14:textId="4097C253" w:rsidR="00E2497C" w:rsidRPr="00DA72E2" w:rsidRDefault="00E2497C" w:rsidP="00362762">
            <w:pPr>
              <w:rPr>
                <w:rFonts w:cs="Arial"/>
                <w:sz w:val="22"/>
                <w:szCs w:val="22"/>
              </w:rPr>
            </w:pPr>
          </w:p>
        </w:tc>
      </w:tr>
    </w:tbl>
    <w:p w14:paraId="4627828A" w14:textId="77777777" w:rsidR="00027C27" w:rsidRPr="00DA72E2" w:rsidRDefault="00027C27" w:rsidP="00362762">
      <w:pPr>
        <w:rPr>
          <w:rFonts w:cs="Arial"/>
          <w:sz w:val="22"/>
          <w:szCs w:val="22"/>
        </w:rPr>
      </w:pPr>
    </w:p>
    <w:sectPr w:rsidR="00027C27" w:rsidRPr="00DA72E2"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242684961">
    <w:abstractNumId w:val="1"/>
  </w:num>
  <w:num w:numId="2" w16cid:durableId="515734170">
    <w:abstractNumId w:val="0"/>
  </w:num>
  <w:num w:numId="3" w16cid:durableId="499390888">
    <w:abstractNumId w:val="0"/>
  </w:num>
  <w:num w:numId="4" w16cid:durableId="845022056">
    <w:abstractNumId w:val="0"/>
  </w:num>
  <w:num w:numId="5" w16cid:durableId="60517824">
    <w:abstractNumId w:val="1"/>
  </w:num>
  <w:num w:numId="6" w16cid:durableId="213833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50"/>
    <w:rsid w:val="00027C27"/>
    <w:rsid w:val="000C0CF4"/>
    <w:rsid w:val="00106C1E"/>
    <w:rsid w:val="0018512F"/>
    <w:rsid w:val="0028113F"/>
    <w:rsid w:val="00281579"/>
    <w:rsid w:val="002D596C"/>
    <w:rsid w:val="00306C61"/>
    <w:rsid w:val="00362762"/>
    <w:rsid w:val="0037582B"/>
    <w:rsid w:val="003C77E6"/>
    <w:rsid w:val="003D68E3"/>
    <w:rsid w:val="004356F7"/>
    <w:rsid w:val="00463E82"/>
    <w:rsid w:val="0047432B"/>
    <w:rsid w:val="004B6F5E"/>
    <w:rsid w:val="004E4A03"/>
    <w:rsid w:val="005A057A"/>
    <w:rsid w:val="005D62FD"/>
    <w:rsid w:val="00660611"/>
    <w:rsid w:val="006A0472"/>
    <w:rsid w:val="006D7FA7"/>
    <w:rsid w:val="00716D5B"/>
    <w:rsid w:val="00756BC1"/>
    <w:rsid w:val="007C36FF"/>
    <w:rsid w:val="007D4DBA"/>
    <w:rsid w:val="007D79DC"/>
    <w:rsid w:val="007E7DC6"/>
    <w:rsid w:val="0084222D"/>
    <w:rsid w:val="00857548"/>
    <w:rsid w:val="00870194"/>
    <w:rsid w:val="00940ED7"/>
    <w:rsid w:val="009B7615"/>
    <w:rsid w:val="00A632A0"/>
    <w:rsid w:val="00B51BDC"/>
    <w:rsid w:val="00B561C0"/>
    <w:rsid w:val="00B773CE"/>
    <w:rsid w:val="00B82181"/>
    <w:rsid w:val="00B87C18"/>
    <w:rsid w:val="00BA3716"/>
    <w:rsid w:val="00C7022D"/>
    <w:rsid w:val="00C91823"/>
    <w:rsid w:val="00D008AB"/>
    <w:rsid w:val="00D946CA"/>
    <w:rsid w:val="00DA72E2"/>
    <w:rsid w:val="00DB1FA9"/>
    <w:rsid w:val="00E2497C"/>
    <w:rsid w:val="00E44650"/>
    <w:rsid w:val="00E90113"/>
    <w:rsid w:val="00EF1EFF"/>
    <w:rsid w:val="00F2063B"/>
    <w:rsid w:val="00F351B8"/>
    <w:rsid w:val="00F70A03"/>
    <w:rsid w:val="00F72A08"/>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8B5D"/>
  <w15:chartTrackingRefBased/>
  <w15:docId w15:val="{D794EB61-C25F-4F0A-B914-5270DBE1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E4465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465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446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46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46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46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44650"/>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E44650"/>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E44650"/>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E44650"/>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E44650"/>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E44650"/>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E446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6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6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650"/>
    <w:rPr>
      <w:rFonts w:ascii="Arial" w:hAnsi="Arial" w:cs="Times New Roman"/>
      <w:i/>
      <w:iCs/>
      <w:color w:val="404040" w:themeColor="text1" w:themeTint="BF"/>
      <w:sz w:val="24"/>
      <w:szCs w:val="20"/>
    </w:rPr>
  </w:style>
  <w:style w:type="paragraph" w:styleId="ListParagraph">
    <w:name w:val="List Paragraph"/>
    <w:basedOn w:val="Normal"/>
    <w:uiPriority w:val="34"/>
    <w:qFormat/>
    <w:rsid w:val="00E44650"/>
    <w:pPr>
      <w:ind w:left="720"/>
      <w:contextualSpacing/>
    </w:pPr>
  </w:style>
  <w:style w:type="character" w:styleId="IntenseEmphasis">
    <w:name w:val="Intense Emphasis"/>
    <w:basedOn w:val="DefaultParagraphFont"/>
    <w:uiPriority w:val="21"/>
    <w:qFormat/>
    <w:rsid w:val="00E44650"/>
    <w:rPr>
      <w:i/>
      <w:iCs/>
      <w:color w:val="2E74B5" w:themeColor="accent1" w:themeShade="BF"/>
    </w:rPr>
  </w:style>
  <w:style w:type="paragraph" w:styleId="IntenseQuote">
    <w:name w:val="Intense Quote"/>
    <w:basedOn w:val="Normal"/>
    <w:next w:val="Normal"/>
    <w:link w:val="IntenseQuoteChar"/>
    <w:uiPriority w:val="30"/>
    <w:qFormat/>
    <w:rsid w:val="00E446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4650"/>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E44650"/>
    <w:rPr>
      <w:b/>
      <w:bCs/>
      <w:smallCaps/>
      <w:color w:val="2E74B5" w:themeColor="accent1" w:themeShade="BF"/>
      <w:spacing w:val="5"/>
    </w:rPr>
  </w:style>
  <w:style w:type="table" w:styleId="TableGrid">
    <w:name w:val="Table Grid"/>
    <w:basedOn w:val="TableNormal"/>
    <w:uiPriority w:val="39"/>
    <w:rsid w:val="00E44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4650"/>
    <w:pPr>
      <w:spacing w:before="100" w:beforeAutospacing="1" w:after="100" w:afterAutospacing="1"/>
    </w:pPr>
    <w:rPr>
      <w:rFonts w:ascii="Times New Roman" w:hAnsi="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4465</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Gardner</dc:creator>
  <cp:keywords/>
  <dc:description/>
  <cp:lastModifiedBy>Keith Gardner</cp:lastModifiedBy>
  <cp:revision>4</cp:revision>
  <dcterms:created xsi:type="dcterms:W3CDTF">2026-02-09T10:52:00Z</dcterms:created>
  <dcterms:modified xsi:type="dcterms:W3CDTF">2026-03-12T12:41:00Z</dcterms:modified>
</cp:coreProperties>
</file>